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7"/>
          <w:szCs w:val="27"/>
        </w:rPr>
        <w:t xml:space="preserve">Вестник </w:t>
      </w:r>
      <w:proofErr w:type="spellStart"/>
      <w:r>
        <w:rPr>
          <w:rStyle w:val="aa"/>
          <w:rFonts w:ascii="Tahoma" w:hAnsi="Tahoma" w:cs="Tahoma"/>
          <w:color w:val="000000"/>
          <w:sz w:val="27"/>
          <w:szCs w:val="27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7"/>
          <w:szCs w:val="27"/>
        </w:rPr>
        <w:t xml:space="preserve"> сельсовета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25.10.2018 года   № 16/100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Об учреждении печатного средства массовой информации органов местного сам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управления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в целях реализации конституционных прав граждан на доступ к информации о деятельности органов местного сам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управления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Собрание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Учредить печатное средство массовой информации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для опубликования муниципальных правовых актов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обсуждения проектов муниципальных правовых актов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 вопросам местного значения, доведения до сведения жителей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официальной информации о социально-экономическом и культурном развитии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о развитии его общественной инфраструктуры и иной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официальной информации - Вестник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совета (далее по тексту решения – Вестник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сельсовета).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Утвердить прилагаемый Устав редакции печатного средства массовой информации органов 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стного самоуправления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– Вестник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совета.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Определить учредителем Вестника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Возложить функции по организации, изданию и распространению изданий Вестника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на Администрацию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Главе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(Т.В. Ивановой) определить главного редактора Вестника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и состав редакционной коллегии, отвеча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 xml:space="preserve">щей за подготовку к изданию и информационное содержание каждого выпуска Вестника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Настоящее решение вступает в силу со дня его официального обнародования (опубликования).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 xml:space="preserve">она                                                                                                                                                                       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68162B" w:rsidRDefault="0068162B" w:rsidP="0068162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                                                                                                                                                                           Т.В. Иванова</w:t>
      </w:r>
    </w:p>
    <w:p w:rsidR="00276EE2" w:rsidRPr="0068162B" w:rsidRDefault="00276EE2" w:rsidP="0068162B">
      <w:pPr>
        <w:rPr>
          <w:szCs w:val="24"/>
        </w:rPr>
      </w:pPr>
    </w:p>
    <w:sectPr w:rsidR="00276EE2" w:rsidRPr="0068162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8162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6183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354</cp:revision>
  <cp:lastPrinted>2019-04-22T06:13:00Z</cp:lastPrinted>
  <dcterms:created xsi:type="dcterms:W3CDTF">2019-05-14T12:41:00Z</dcterms:created>
  <dcterms:modified xsi:type="dcterms:W3CDTF">2023-11-03T06:09:00Z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