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DD" w:rsidRPr="001812DD" w:rsidRDefault="001812DD" w:rsidP="001812DD">
      <w:pPr>
        <w:shd w:val="clear" w:color="auto" w:fill="EEEEEE"/>
        <w:jc w:val="center"/>
        <w:rPr>
          <w:rFonts w:ascii="Tahoma" w:hAnsi="Tahoma" w:cs="Tahoma"/>
          <w:b/>
          <w:bCs/>
          <w:color w:val="000000"/>
          <w:sz w:val="21"/>
          <w:szCs w:val="21"/>
        </w:rPr>
      </w:pPr>
      <w:r w:rsidRPr="001812DD">
        <w:rPr>
          <w:rFonts w:ascii="Tahoma" w:hAnsi="Tahoma" w:cs="Tahoma"/>
          <w:b/>
          <w:bCs/>
          <w:color w:val="000000"/>
          <w:sz w:val="21"/>
          <w:szCs w:val="21"/>
        </w:rPr>
        <w:t>Отчет главы Амосовского сельсовета Медвенского района Курской области о результатах своей деятельности и деятельности администрации за 2014 год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Отчет</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главы Амосовского сельсовета Медвенского района Курской области</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о результатах своей деятельности и деятельности администрации</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за 2014 год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«Амосовский сельсовет»  на обсуждение представляю Вашему вниманию отчет главы Амосовского сельсовета о результатах своей деятельности и деятельности Администрации сельсовета за 2014 год.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Главной опорой в работе Администрации является депутатский корпус поселения. В состав Собрания депутатов Амосовского сельсовета входят </w:t>
      </w:r>
      <w:r w:rsidRPr="001812DD">
        <w:rPr>
          <w:rFonts w:ascii="Tahoma" w:hAnsi="Tahoma" w:cs="Tahoma"/>
          <w:b/>
          <w:bCs/>
          <w:color w:val="000000"/>
          <w:sz w:val="18"/>
          <w:u w:val="single"/>
        </w:rPr>
        <w:t>10</w:t>
      </w:r>
      <w:r w:rsidRPr="001812DD">
        <w:rPr>
          <w:rFonts w:ascii="Tahoma" w:hAnsi="Tahoma" w:cs="Tahoma"/>
          <w:color w:val="000000"/>
          <w:sz w:val="18"/>
          <w:szCs w:val="18"/>
        </w:rPr>
        <w:t> депутатов. Многие проблемы населенных пунктов решаются с их подачи и с их активным участием. В течение 2014 года было проведено 17 заседаний Собрания депутатов, на которых рассмотрены важные для поселения вопросы, подготовлено 85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Все заседания были проведены с соблюдением кворума депутатов. Всегда находились компромиссные решения по любому вопросу, вынесенному на рассмотрение депутатов.</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1.Общая характеристика Амосовского сельсовета.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Площадь сельсовета составляет – 6750 га.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Включает 17 населенных пунктов. Самые малонаселенные – это х. Петропавловские выселки и х. Березовый по 2 человека, а самый густонаселенный д. Амосовка - 680 человек. По всему сельсовету численность населения на конец 2014 года составила 1146 человека. Из них 598 женщин и 548 мужчин. За истекший год умерло 22 (2013г-12) человек, а родилось 9 (2013г.-19) детей. По категориям население сельсовета подразделяется следующим образом:</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Пенсионеры -319 чел.</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Инвалиды в трудоспособном возрасте – 71 чел.</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Школьники – 82 чел.</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Дети дошкольного возраста – 79 чел.</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Неработающие в трудоспособном возрасте – 138 чел. (2012 год – 205; 2013-147)</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работающие -547 чел.</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работающие за пределами сельсовета – 285 чел. ( 2013г.- 292)</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проходят службу в РА – 7 чел.</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2.Льготные категории граждан:</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1.  Инвалиды и участники Великой Отечественной войны – 4 человека;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2. Ветераны труда – 67 человек (пенсионного возраста);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3. Труженики тыла – 19 человек (в т.ч. участники ВОВ);</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4. Инвалиды – 121 человек;</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5. Участники боевых действий – 7 человек;</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6. Участники Чернобыльской АЭС – 3 человека;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7. Одиноких матерей – 23;</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8. Многодетных семей – 8;</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9. Опекунов – 4;</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10. Вдовы погибших или умерших участников ВОВ – 6.</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3. Работа Администрации</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 2014 году Администрация Амосовского сельсовета имела следующую организационно-штатную структуру:</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Глава поселения – глава сельсовета  – 1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Заместитель главы Администрации – 1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Начальник отдела бюджетного учета и отчетности, главный бухгалтер – 1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Специалист 1-го разряда – 1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Водитель – 1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Уборщица – 1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Итого: 6 ед.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lastRenderedPageBreak/>
        <w:t>В 2014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Администрация Амосовского сельсовета осуществляет прием граждан ежедневно с понедельника по пятницу с 8-00 до 17-00.</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 2014 году общее количество принятых граждан составило 693 человека, количество устных обращений - 50, письменных -32, обращений за справками различного вида и содержания - 611.</w:t>
      </w:r>
      <w:r w:rsidRPr="001812DD">
        <w:rPr>
          <w:rFonts w:ascii="Tahoma" w:hAnsi="Tahoma" w:cs="Tahoma"/>
          <w:b/>
          <w:bCs/>
          <w:color w:val="000000"/>
          <w:sz w:val="18"/>
        </w:rPr>
        <w:t> </w:t>
      </w:r>
      <w:r w:rsidRPr="001812DD">
        <w:rPr>
          <w:rFonts w:ascii="Tahoma" w:hAnsi="Tahoma" w:cs="Tahoma"/>
          <w:color w:val="000000"/>
          <w:sz w:val="18"/>
          <w:szCs w:val="18"/>
        </w:rPr>
        <w:t>В своей работе мы стремились к тому, чтобы ни одно обращение не осталось без внимания. Все обращения рассмотрены и по каждому даны исчерпывающие ответы.</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За 2014 год администрацией сельсовета было принято 147 постановлений, распоряжений по основному виду деятельности -69, по личному составу и кадровой деятельности – 52, получено входящей корреспонденции 504, подготовлено и отправлено исходящей корреспонденции - 618.</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 течение 2014 года регулярно проводились встречи главы Амосовского сельсовета с жителями в рамках проведения собраний граждан и в качестве подворного обхода по различным вопросам деятельности.</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Работники Администрации и работники культуры принимали активное участие в наведении санитарного порядка на территории сельсовета. Была очищена одна сторона посадки от сухих и аварийных деревьев, проведена уборка на сельском кладбище, два памятника погибшим в ВОВ на протяжении всего сезона поддерживались в надлежащем порядке.</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Также было очищено 2 колодца с питьевой водой (один на д. Шатовка, второй на х. Березовый), отремонтированы ступеньки у крыльца Дома культуры.</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Администрацией сельсовета ведется работа по актуализации базы данных земельных участков и недвижимого имущества физических лиц. Для обеспечения эффективного использования земли, Администрацией Амосовского сельсовета разработано Положение о порядке осуществления муниципального земельного контроля, основными задачами которого являются соблюдение юридическими и физическими лицами режима целевого использования земли, предотвращения вредного воздействия на окружающую среду, недопущение самовольного занятия земельных участков.</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Администрация сельсовета ведет учет личных подсобных хозяйств, земельных участков предоставленных гражданам, учет скота в личных хозяйствах граждан. Мы видим, что с каждым годом в личных подворьях идет снижение поголовья всех видов скота, некоторые люди даже отказываются от огородов и это настораживает, ведь земля – это самый ценный капитал, которым владеем мы – сельские жители. Тем более, что наш чернозем настолько плодороден, что сельхозники других стран нам могут только позавидовать. Ведь одним из главных факторов повышения уровня жизни на селе является развитие личных подсобных хозяйств.</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4. Формирование, утверждение, исполнение бюджета поселения и контроль за исполнением данного бюджета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Формирование бюджета - наиболее важный и сложный вопрос в рамках реализации полномочий. Бюджет Амосовского сельсовета на 2014 год был сформирован в установленные законодательством сроки и утвержден решением Собрания депутатов МО «Амосовский сельсовет» от 03.12.2013 г. № 25/140. В течение года в решение о бюджете были подготовлены, вынесены на рассмотрение Собрания депутатов и утверждены  изменения и дополнения в бюджет.</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Исполнение бюджета Амосовского сельсовета в 2014 году осуществлялось в соответствии с решением о бюджете и утвержденной сводной бюджетной росписью бюджета сельсовета на 2014 год.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Доходы бюджета Амосовского сельсовета за 2014 год составили 8140557 руб., сформированы за счет поступлений собственных доходов на 49,4%; а остальные 50,6% за счет дотации на выравнивание бюджетной обеспеченности и на поддержку мер по обеспечению сбалансированности бюджета поселения из бюджета районного и областного. Поступления от уплаты НДФЛ составили 710 тыс. руб. – это 17,7% от всех поступлений. Доходы от уплаты Единого сельскохозяйственного налога также поступили в сумме 37 тыс.руб., это 0,9%. От продажи земельных участков в доход бюджета поступило 286 тыс. руб., от продажи невостребованных земельных долей 1564 тыс.руб. (38,9%), от уплаты акцизов на дизтопливо и моторные масла -445,6 тыс. руб. (11,1%). Также в размере 100% от запланированного был уплачен земельный налог, что в денежном выражении составило 848 тыс.руб., налог на имущество – 15,7 тыс.руб.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Основными статьями расходов в 2014 году являлись:</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оплата коммунальных услуг – 591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-субсидии на возмещение платы за коммунальные услуги семьям, чьи доходы ниже прожиточного минимума  -  199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затраты по ведению воинского учета – 68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-уплата налогов – 81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заработная плата работников Администрации -1094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заработная плата работников культуры – 921 тыс. руб., что в соответствии с Указом Президента соответствовало дорожной карте: средняя з/плата составила 15076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отчисления в государственные фонды – 667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Если смотреть в процентном соотношении расходов, то на заработную плату с начислениями потрачено 27,6% расходов бюджета, топливно-энергетические ресурсы – 7,3%, доплаты к пенсиям – 2,5%, налоги – 1%, содержание имущества, аренда, материальные затраты и прочие -10,6%, участие в программах -51,1%.</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lastRenderedPageBreak/>
        <w:t>В 2014 году мы участвовали в областной целевой программе «Экология и чистая вода в Курской области». За счет этой программы был отремонтирован 1 км водопроводных сетей, на что было потрачено – 1012,6 тыс.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По программе дорожные фонды был произведен ремонт дороги по д. Амосовка в количестве 400м., сметная стоимость данного ремонта составила 1359 тыс. рублей. В 2014 году произведена оплата в сумме 868 тыс. рублей, остальные денежные средства в размере 491 мы должны перечислить до июня текущего года.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На грейдирование и очистку дорог в 2014 году было затрачено 40379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Мы принимали участие в Федеральной программе «Жилище» подпрограмма «Обеспечение жильем молодых семей». Одна из наших семей была включена в эту программу и ей был выдан сертификат, но, к сожалению, они отказались от приобретения жилья и нам пришлось возвратить денежные средства в федеральный и областной бюджет соответственно.</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По программе «Молодежь» было затрачено 8100 руб., на развитие физической культуры и спорта – 21000, Информатизация органов местного самоуправления – 81589 руб., транспортная доступность – 40350 руб.</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 рамках Федерального закона «О ветеранах» участникам ВОВ оказана материальная помощь - 6 тыс. руб., из резервного  фонда сельсовета. Одной вдове участника ВОВ было вручено свидетельство на приобретение жилья для ветеранов.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5.Работа учреждений культуры</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 связи с тем, что 2014 год был объявлен в нашей стране годом культуры, самым первым из массовых мероприятий была праздничная программа, посвященная открытию Года культуры. Программа получилась яркая, содержательная и это был хороший старт для дальнейшей работы. Год был насыщенным, но хотелось бы выделить самые крупные мероприятия.</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«Проводы масленицы» собрали на площади жителей села. Было все: представление, спортивные и шуточные конкурсы, вкусные блины и шашлыки, горячий чай. В празднике активно приняли участие предприниматели, развернувшие торговлю на площади, и учащиеся школы с ярмаркой домашней выпечки. Праздничные концерты радовали селян на протяжении года: «Любимым посвящается», «Нам война не смотрела в глаза», «Летние напевы», «Нас закружила осень с листвою», «Берегите матерей». Не первый год в День молодежи собираются наши жители на площади перед Домом культуры, так было и в 2014 году. В программе праздника: концертная программа, конкурсы, награждение молодых людей, которые принимают активное участие в жизни села и дискотека. Так же традиционным стало мероприятие в День семьи, любви и верности, где мы чествуем супружеские пары, которые празднуют в текущем году юбилей семейной жизни. В прошедшем году концертная программа ко Дню Матери «Берегите матерей» участниками художественной самодеятельности была показана дважды: у нас в Доме культуры и у соседей в Панинском ДК. Выездные мероприятия это хороший опыт, который будет продолжен и в будущем. В сельской библиотеке проводятся такие мероприятия, как День пожилых людей, День неизвестного солдата, Неделя детской книги, День России, детские игровые программы и прочие. Также мы принимали участие в районных мероприятиях, таких как летняя и зимняя спартакиада, День Урожая, клубный мастер и другие.</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В проведении всех мероприятий нам постоянно оказывали материальную поддержку индивидуальные предприниматели Бабанин А.Н., Гирлина Е.В., Васильв И.И., Погребной А.С. и, конечно же, наш депутат и председатель СПК «Амосовский» В.С.Кузнецова. Я всегда им выражаю благодарность через газету «Медвенские новости», но мне еще раз хочется сказать им огромное спасибо за Ваше участие и понимание, за Вашу заботу о своих односельчанах.</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b/>
          <w:bCs/>
          <w:color w:val="000000"/>
          <w:sz w:val="18"/>
        </w:rPr>
        <w:t>6.Основные направления работы на 2015 год.</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 </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1.Участие в программе «Экология и Чистая вода в Курской области». Разработана сметная документация на ремонт водопроводных сетей по д. Цуриково (500м) на общую сумму 386 тыс. руб. Подана заявка на участие в программе в областное экологическое управление.</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2.Планируется установка прибора учета на тепловую энергию для Амосовского Дома культуры. Сметная документация имеется.</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3. К 70-летию Великой Победы мы планируем посадить аллею славы на мемориале павшим в годы ВОВ в д. Амосовка. За счет собственных средств хотим приобрести туи и в конце апреля, начале мая высадим их позади мемориала.</w:t>
      </w:r>
    </w:p>
    <w:p w:rsidR="001812DD" w:rsidRPr="001812DD" w:rsidRDefault="001812DD" w:rsidP="001812DD">
      <w:pPr>
        <w:shd w:val="clear" w:color="auto" w:fill="EEEEEE"/>
        <w:jc w:val="both"/>
        <w:rPr>
          <w:rFonts w:ascii="Tahoma" w:hAnsi="Tahoma" w:cs="Tahoma"/>
          <w:color w:val="000000"/>
          <w:sz w:val="18"/>
          <w:szCs w:val="18"/>
        </w:rPr>
      </w:pPr>
      <w:r w:rsidRPr="001812DD">
        <w:rPr>
          <w:rFonts w:ascii="Tahoma" w:hAnsi="Tahoma" w:cs="Tahoma"/>
          <w:color w:val="000000"/>
          <w:sz w:val="18"/>
          <w:szCs w:val="18"/>
        </w:rPr>
        <w:t>К сожалению, бюджет, утвержденный на 2015 год у нас по доходам составляет 1209 тыс. руб., а по планируемым расходам – 2875 тыс. руб., т.е. дефицит - 1666 тыс. руб. А каждый новый день – ставит новые задачи, появляются новые проблемы, но опускать руки мы не собираемся. Я считаю, что только все вместе, взаимодействуя каждый день, учитывая мнения каждого жителя и руководствуясь законом, мы сможем эффективно решить стоящие перед нами задачи и достигнуть поставленных целей.</w:t>
      </w:r>
    </w:p>
    <w:p w:rsidR="00497210" w:rsidRPr="001812DD" w:rsidRDefault="00497210" w:rsidP="001812DD"/>
    <w:sectPr w:rsidR="00497210" w:rsidRPr="001812DD"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E5E"/>
    <w:rsid w:val="00027E72"/>
    <w:rsid w:val="00030984"/>
    <w:rsid w:val="000439CA"/>
    <w:rsid w:val="000F2A2D"/>
    <w:rsid w:val="000F5DA7"/>
    <w:rsid w:val="001812DD"/>
    <w:rsid w:val="001E20D8"/>
    <w:rsid w:val="002B7972"/>
    <w:rsid w:val="003D452B"/>
    <w:rsid w:val="003D5E5E"/>
    <w:rsid w:val="00497210"/>
    <w:rsid w:val="006E1329"/>
    <w:rsid w:val="008171FD"/>
    <w:rsid w:val="0088422C"/>
    <w:rsid w:val="008C0913"/>
    <w:rsid w:val="009143A4"/>
    <w:rsid w:val="009D2AF5"/>
    <w:rsid w:val="00B041BA"/>
    <w:rsid w:val="00B527A4"/>
    <w:rsid w:val="00C75A84"/>
    <w:rsid w:val="00E646AE"/>
    <w:rsid w:val="00EB4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20</cp:revision>
  <dcterms:created xsi:type="dcterms:W3CDTF">2016-12-22T19:50:00Z</dcterms:created>
  <dcterms:modified xsi:type="dcterms:W3CDTF">2023-11-06T10:00:00Z</dcterms:modified>
</cp:coreProperties>
</file>