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2" w:rsidRPr="007C39C2" w:rsidRDefault="007C39C2" w:rsidP="007C39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C39C2">
        <w:rPr>
          <w:rFonts w:ascii="Tahoma" w:hAnsi="Tahoma" w:cs="Tahoma"/>
          <w:b/>
          <w:bCs/>
          <w:color w:val="000000"/>
          <w:sz w:val="21"/>
          <w:szCs w:val="21"/>
        </w:rPr>
        <w:t>О разработке прогноза социально-экономического развития и проекта бюджета муниципального образования «</w:t>
      </w:r>
      <w:proofErr w:type="spellStart"/>
      <w:r w:rsidRPr="007C39C2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7C39C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7C39C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7C39C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2023 год и на плановый период 2024 и 2025 годов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от 31.10.2022 года                            № 80-па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О разработке прогноза социально-экономического развития и проекта бюджета муниципального образования «</w:t>
      </w:r>
      <w:proofErr w:type="spellStart"/>
      <w:r w:rsidRPr="007C39C2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7C39C2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7C39C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7C39C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2023 год и на плановый период 2024 и 2025 годов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b/>
          <w:bCs/>
          <w:color w:val="000000"/>
          <w:sz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В соответствии с Положением о бюджетном процессе в муниципальном образовании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утвержденного решением Собрания депутатов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23.05.2019 № 25/145 (в ред. от 01.04.2020 № 38/220; от 31.05.2021 № 53/286; от 04.05.2022 № 68/342), в целях своевременной подготовки проекта бюджета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на плановый период 2024 и 2025 годов, Администрация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 xml:space="preserve">1. Администрации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а) уточнить основные параметры прогноза социально-экономического развития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на плановый период 2024 -2025 годов (далее именуется - прогноз 2023-2025 годы) до 07 ноября 2022 года;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б) применять для разработки проекта бюджета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на плановый период 2024 - 2025 годов следующие показатели социально-экономического развития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- объемы и темпы роста (снижения) реализации сельскохозяйственной продукции, индексы-дефляторы цен;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- фонд заработной платы и темпы роста (снижения) фонда заработной платы.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в) разработать и представить для утверждения основные направления бюджетной и налоговой политики до 07 ноября 2022 года.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г) довести до субъектов бюджетного планирования методические материалы по формированию проектировок бюджетных ассигнований бюджета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 до 07 ноября 2022 года.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 xml:space="preserve">2. Администрации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C39C2">
        <w:rPr>
          <w:rFonts w:ascii="Tahoma" w:hAnsi="Tahoma" w:cs="Tahoma"/>
          <w:color w:val="000000"/>
          <w:sz w:val="18"/>
          <w:szCs w:val="18"/>
        </w:rPr>
        <w:t xml:space="preserve">- произвести распределение бюджетных ассигнований в 2023 году и плановом периоде 2024 и 2025 годов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бюджета, муниципальным программам и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непрограммным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направлениям деятельности и представить проекты бюджетных смет на 2023 год с расчетами и обоснованиями Администрации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 10 ноября 2022</w:t>
      </w:r>
      <w:proofErr w:type="gramEnd"/>
      <w:r w:rsidRPr="007C39C2">
        <w:rPr>
          <w:rFonts w:ascii="Tahoma" w:hAnsi="Tahoma" w:cs="Tahoma"/>
          <w:color w:val="000000"/>
          <w:sz w:val="18"/>
          <w:szCs w:val="18"/>
        </w:rPr>
        <w:t xml:space="preserve"> года.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7C39C2">
        <w:rPr>
          <w:rFonts w:ascii="Tahoma" w:hAnsi="Tahoma" w:cs="Tahoma"/>
          <w:color w:val="000000"/>
          <w:sz w:val="18"/>
          <w:szCs w:val="18"/>
        </w:rPr>
        <w:t xml:space="preserve">Представить до 15 ноября 2022 года Главе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и направить Собранию депутатов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проект решения Собрания депутатов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«О бюджете муниципального образования «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и плановый период 2024 и 2025 годов» с приложением документов и материалов, определенных статьей 184.2 Бюджетного</w:t>
      </w:r>
      <w:proofErr w:type="gramEnd"/>
      <w:r w:rsidRPr="007C39C2">
        <w:rPr>
          <w:rFonts w:ascii="Tahoma" w:hAnsi="Tahoma" w:cs="Tahoma"/>
          <w:color w:val="000000"/>
          <w:sz w:val="18"/>
          <w:szCs w:val="18"/>
        </w:rPr>
        <w:t xml:space="preserve"> Кодекса Российской Федерации.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7C39C2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C39C2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5.Настоящее постановление вступает в силу со дня его подписания и подлежит обнародованию.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> 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C39C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C39C2" w:rsidRPr="007C39C2" w:rsidRDefault="007C39C2" w:rsidP="007C39C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7C39C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C39C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497210" w:rsidRPr="007C39C2" w:rsidRDefault="00497210" w:rsidP="007C39C2"/>
    <w:sectPr w:rsidR="00497210" w:rsidRPr="007C39C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207</cp:revision>
  <dcterms:created xsi:type="dcterms:W3CDTF">2016-12-22T19:50:00Z</dcterms:created>
  <dcterms:modified xsi:type="dcterms:W3CDTF">2023-11-07T18:38:00Z</dcterms:modified>
</cp:coreProperties>
</file>