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17" w:rsidRDefault="00B83617" w:rsidP="00B83617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полномочий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созданию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условий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организации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досуга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обеспечения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жителей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поселения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услугами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организаций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культуры</w:t>
      </w:r>
      <w:proofErr w:type="spellEnd"/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B83617" w:rsidRDefault="00B83617" w:rsidP="00B83617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21.09.2021 года                           № 56/296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передаче части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по созданию условий для организации досуга и обесп</w:t>
      </w:r>
      <w:r>
        <w:rPr>
          <w:rStyle w:val="aa"/>
          <w:rFonts w:ascii="Tahoma" w:hAnsi="Tahoma" w:cs="Tahoma"/>
          <w:color w:val="000000"/>
          <w:sz w:val="12"/>
          <w:szCs w:val="12"/>
        </w:rPr>
        <w:t>е</w:t>
      </w:r>
      <w:r>
        <w:rPr>
          <w:rStyle w:val="aa"/>
          <w:rFonts w:ascii="Tahoma" w:hAnsi="Tahoma" w:cs="Tahoma"/>
          <w:color w:val="000000"/>
          <w:sz w:val="12"/>
          <w:szCs w:val="12"/>
        </w:rPr>
        <w:t>чения жителей сельского поселения услугами организаций культуры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частью 4  статьи 15 Федерального закона от 06 октября 2003 года № 131-ФЗ «Об общих принципах организации местного самоуправления в Росси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Положением о порядке заключения согл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шений органами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с органами местного сам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области, утвержденным решением Собрания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01.12.2014 № 38/222,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РЕШИЛО: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Передать органам местного самоуправления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осуществление части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 в области по созданию условий для орган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зации досуга и обеспечения жителей поселений услугами организаций культуры.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Направить настоящее решение в Представительное Собрание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для рассмотрения вопроса о принятии осуществления части полномочий по решению вопросов местного значения.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Заключить с муниципальным районом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соглашение о передаче ему осуществления части полномочий по решению вопросов местного значения.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4.Определить размер межбюджетных трансфертов, предоставляемых на осуществление полномочий, указанных в пункте 1 настоящего решения, из бюджета мун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ципального образования в бюджет муниципального района согласно приложению к настоящему решению.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Настоящее решение вступает в силу с 01 января 2022 года и подлежит официальному опубликованию в порядке, установленном Уставом муниципального образ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вания «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                                               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                 Т.В. Иванова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21.09.2021 № 56/296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Размер межбюджетных трансфертов, предоставляемых </w:t>
      </w:r>
      <w:proofErr w:type="gramStart"/>
      <w:r>
        <w:rPr>
          <w:rStyle w:val="aa"/>
          <w:rFonts w:ascii="Tahoma" w:hAnsi="Tahoma" w:cs="Tahoma"/>
          <w:color w:val="000000"/>
          <w:sz w:val="12"/>
          <w:szCs w:val="12"/>
        </w:rPr>
        <w:t>на</w:t>
      </w:r>
      <w:proofErr w:type="gramEnd"/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осуществление части полномочий по созданию условий для организации досуга и обеспечения жителей поселений услугами организаций культ</w:t>
      </w:r>
      <w:r>
        <w:rPr>
          <w:rStyle w:val="aa"/>
          <w:rFonts w:ascii="Tahoma" w:hAnsi="Tahoma" w:cs="Tahoma"/>
          <w:color w:val="000000"/>
          <w:sz w:val="12"/>
          <w:szCs w:val="12"/>
        </w:rPr>
        <w:t>у</w:t>
      </w:r>
      <w:r>
        <w:rPr>
          <w:rStyle w:val="aa"/>
          <w:rFonts w:ascii="Tahoma" w:hAnsi="Tahoma" w:cs="Tahoma"/>
          <w:color w:val="000000"/>
          <w:sz w:val="12"/>
          <w:szCs w:val="12"/>
        </w:rPr>
        <w:t>ры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средств межбюджетных трансфертов, руб</w:t>
      </w:r>
      <w:r>
        <w:rPr>
          <w:rStyle w:val="aa"/>
          <w:rFonts w:ascii="Tahoma" w:hAnsi="Tahoma" w:cs="Tahoma"/>
          <w:color w:val="000000"/>
          <w:sz w:val="12"/>
          <w:szCs w:val="12"/>
        </w:rPr>
        <w:t>.                     1 965 854,00</w:t>
      </w:r>
    </w:p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3"/>
        <w:gridCol w:w="2772"/>
      </w:tblGrid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Статья 211 «Заработная плата»</w:t>
            </w:r>
          </w:p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Месячный фонд оплаты труда</w:t>
            </w:r>
            <w:proofErr w:type="gramStart"/>
            <w:r>
              <w:rPr>
                <w:sz w:val="12"/>
                <w:szCs w:val="12"/>
              </w:rPr>
              <w:t xml:space="preserve"> ,</w:t>
            </w:r>
            <w:proofErr w:type="gramEnd"/>
            <w:r>
              <w:rPr>
                <w:sz w:val="12"/>
                <w:szCs w:val="12"/>
              </w:rPr>
              <w:t xml:space="preserve"> всего</w:t>
            </w:r>
          </w:p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числе: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87 090,75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оклад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14 368,00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за работу в сельской местности 25%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3 592,00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стаж 25%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1 822,50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стимулирующие выплаты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67 308,25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Годовой фонд оплаты труда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1 045 089,00</w:t>
            </w:r>
          </w:p>
        </w:tc>
      </w:tr>
    </w:tbl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3"/>
        <w:gridCol w:w="2772"/>
      </w:tblGrid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Статья 213 «Начисления на оплату труда»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(годовой фонд*30,2%)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315 617,00</w:t>
            </w:r>
          </w:p>
        </w:tc>
      </w:tr>
    </w:tbl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4"/>
        <w:gridCol w:w="2771"/>
      </w:tblGrid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Статья 223 «Коммунальные услуги»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Электроснабжение - 4,10 кВт * 9,975 = 40898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40 898,00</w:t>
            </w:r>
          </w:p>
        </w:tc>
      </w:tr>
    </w:tbl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5"/>
        <w:gridCol w:w="2770"/>
      </w:tblGrid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Статья 225 «Работы, услуги по содержанию имущества»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b/>
                <w:bCs/>
                <w:sz w:val="12"/>
                <w:szCs w:val="12"/>
              </w:rPr>
              <w:t> 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заправка картриджа 1*330=330.00 руб.*3раза в год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990,00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вывоз ТКО 944руб.*12мес.=11328.00 руб.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11 328,00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уборщик служебных помещений 2 чел. * 13000 руб. * 12мес. * 27,1% =396552.00 руб.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396 552,00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Style w:val="ac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Style w:val="ac"/>
                <w:sz w:val="12"/>
                <w:szCs w:val="12"/>
              </w:rPr>
              <w:t xml:space="preserve"> на благоустройство территории ДК =148 173.00 руб.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148 173,00</w:t>
            </w:r>
          </w:p>
        </w:tc>
      </w:tr>
    </w:tbl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b/>
          <w:bCs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3"/>
        <w:gridCol w:w="2772"/>
      </w:tblGrid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Статья 225 "Прочие работы, услуги"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обслуживание программы СБИС (электронная отчетность) = 4 700.00 руб.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4 700,00</w:t>
            </w:r>
          </w:p>
        </w:tc>
      </w:tr>
    </w:tbl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3"/>
        <w:gridCol w:w="2772"/>
      </w:tblGrid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Статья 291 "Налоги, пошлины и сборы"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 </w:t>
            </w:r>
          </w:p>
        </w:tc>
      </w:tr>
      <w:tr w:rsidR="00B83617" w:rsidTr="00B83617">
        <w:trPr>
          <w:tblCellSpacing w:w="0" w:type="dxa"/>
        </w:trPr>
        <w:tc>
          <w:tcPr>
            <w:tcW w:w="6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имущественный налог остаточная стоимость 113950 * 2,2% =2507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83617" w:rsidRDefault="00B8361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2 507,00</w:t>
            </w:r>
          </w:p>
        </w:tc>
      </w:tr>
    </w:tbl>
    <w:p w:rsidR="00B83617" w:rsidRDefault="00B83617" w:rsidP="00B8361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563AB" w:rsidRPr="00B83617" w:rsidRDefault="001563AB" w:rsidP="00B83617"/>
    <w:sectPr w:rsidR="001563AB" w:rsidRPr="00B8361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86" w:rsidRDefault="00DA3886" w:rsidP="001563AB">
      <w:r>
        <w:separator/>
      </w:r>
    </w:p>
  </w:endnote>
  <w:endnote w:type="continuationSeparator" w:id="0">
    <w:p w:rsidR="00DA3886" w:rsidRDefault="00DA388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86" w:rsidRDefault="00DA3886" w:rsidP="001563AB">
      <w:r w:rsidRPr="001563AB">
        <w:rPr>
          <w:color w:val="000000"/>
        </w:rPr>
        <w:separator/>
      </w:r>
    </w:p>
  </w:footnote>
  <w:footnote w:type="continuationSeparator" w:id="0">
    <w:p w:rsidR="00DA3886" w:rsidRDefault="00DA388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E1EA4"/>
    <w:rsid w:val="00AB208E"/>
    <w:rsid w:val="00B83617"/>
    <w:rsid w:val="00BB0CD9"/>
    <w:rsid w:val="00C54432"/>
    <w:rsid w:val="00CF37FE"/>
    <w:rsid w:val="00D150E7"/>
    <w:rsid w:val="00DA3886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</cp:revision>
  <cp:lastPrinted>2021-04-02T07:05:00Z</cp:lastPrinted>
  <dcterms:created xsi:type="dcterms:W3CDTF">2023-11-08T04:26:00Z</dcterms:created>
  <dcterms:modified xsi:type="dcterms:W3CDTF">2023-11-08T15:50:00Z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