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0A" w:rsidRDefault="0055310A" w:rsidP="0055310A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>О внесении изменений и дополнений в решение Собрания депутатов Амосовского сельсовета Медвенского района от 23.05.2019 № 25/145 «Об утверждении Положения о бюджетном процессе в муниципальном образовании «Амосовский сельсовет» Медвенского района Курской области»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ПРОЕКТ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  года                          №  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 внесении изменений и дополнений в решение Собрания депутатов Амосовского сельсовета Медвенского района от 23.05.2019 № 25/145 «Об утверждении Положения о бюджетном процессе в муниципальном образовании «Амосовский сельсовет» Медвенского района Курской области»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Бюджетным кодексам Российской Федерации от 31.07.1998 № 145-ФЗ (в редакции Федерального закона от 31.07.2020 № 263-ФЗ «О внесении изменений в Бюджетный кодекс Российской Федерации и отдельные законодательные акты Российской Федерации», от 27.12.2019 № 479-ФЗ «О внесении изменений в Бюджетный кодекс Российской Федерации в части казначейского обслуживания и системы казначейских платежей»), рассмотрев протест прокуратуры Медвенского района от 26.04.2021 № 39-2020 на решение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Собрания депутатов Амосовского сельсовета Медвенского района от 23.05.2019 № 25/145 «Об утверждении Положения о бюджетном процессе в муниципальном образовании «Амосовский сельсовет» Медвенского района Курской области», Собрание депутатов Амосовского сельсовета Медвенского района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1.Внести в Положение о бюджетном процессе в муниципальном образовании «Амосовский сельсовет» Медвенского района Курской области, утвержденное решением Собрания депутатов Амосовского сельсовета Медвенского района от 23.05.2019 № 25/145 (в ред. от 01.04.2020 № 38/220) следующие изменения и дополнения: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Статьи 7 и 8 изложить в новой редакции, добавив Положение статьей 7.1: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«Статья 7. Доходы бюджета Амосовского сельсовета Медвенского района Курской области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Доходы бюджета Амосовского сельсовета Медвенского района Курской области формируются в соответствии с бюджетным законодательством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ции, законодательством Российской Федерации о налогах и сборах, законодательством Курской области о налогах и сборах, муниципальными правовыми актами органов местного самоуправления о налогах и сборах.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Статья 7.1. Налоговые доходы бюджета Амосовского сельсовета Медвенского района Курской области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В бюджет Амосовского сельсовета Медвенского района Курской области зачисляются налоговые доходы от следующих местных налогов в соответствии с </w:t>
      </w:r>
      <w:hyperlink r:id="rId6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законодательством</w:t>
        </w:r>
      </w:hyperlink>
      <w:r>
        <w:rPr>
          <w:rFonts w:ascii="Tahoma" w:hAnsi="Tahoma" w:cs="Tahoma"/>
          <w:color w:val="000000"/>
          <w:sz w:val="12"/>
          <w:szCs w:val="12"/>
        </w:rPr>
        <w:t> Российской Федерации о налогах и сборах: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земельного налога - по нормативу 100 процентов;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налога на имущество физических лиц - по нормативу 100 процентов.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В бюджет Амосовского сельсовета Медвенского района Курской области зачисляются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налога на доходы физических лиц - по нормативу 2 процентов;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единого сельскохозяйственного налога - по нормативу 30 процентов;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государственной пошлины за совершение нотариальных действий должностными лицами органов местного самоуправления поселения, уполномоченными в соотве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ствии с законодательными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актами</w:t>
        </w:r>
      </w:hyperlink>
      <w:r>
        <w:rPr>
          <w:rFonts w:ascii="Tahoma" w:hAnsi="Tahoma" w:cs="Tahoma"/>
          <w:color w:val="000000"/>
          <w:sz w:val="12"/>
          <w:szCs w:val="12"/>
        </w:rPr>
        <w:t> Российской Федерации на совершение нотариальных действий, за выдачу органом местного самоуправления поселения специал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 процентов.</w:t>
      </w:r>
      <w:proofErr w:type="gramEnd"/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В бюджет Амосовского сельсовета Медвенского района Курской области зачисляются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 </w:t>
      </w:r>
      <w:hyperlink r:id="rId8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статьей 58</w:t>
        </w:r>
      </w:hyperlink>
      <w:r>
        <w:rPr>
          <w:rFonts w:ascii="Tahoma" w:hAnsi="Tahoma" w:cs="Tahoma"/>
          <w:color w:val="000000"/>
          <w:sz w:val="12"/>
          <w:szCs w:val="12"/>
        </w:rPr>
        <w:t> настоящего Бюджетного Кодекса Российской Федерации.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В бюджет Амосовского сельсовета Медвенского района Курской области зачисляются налоговые доходы от федеральных налогов и сборов, в том числе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 </w:t>
      </w:r>
      <w:hyperlink r:id="rId9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статьей 63</w:t>
        </w:r>
      </w:hyperlink>
      <w:r>
        <w:rPr>
          <w:rFonts w:ascii="Tahoma" w:hAnsi="Tahoma" w:cs="Tahoma"/>
          <w:color w:val="000000"/>
          <w:sz w:val="12"/>
          <w:szCs w:val="12"/>
        </w:rPr>
        <w:t>Бюджетного Кодекса Российской Федерации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..</w:t>
      </w:r>
      <w:proofErr w:type="gramEnd"/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Статья 8. Неналоговые доходы бюджета Амосовского сельсовета Медвенского района Курской области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Неналоговые доходы бюджета Амосовского сельсовета Медвенского района Курской области формируются в соответствии со </w:t>
      </w:r>
      <w:hyperlink r:id="rId10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статьями 41</w:t>
        </w:r>
      </w:hyperlink>
      <w:r>
        <w:rPr>
          <w:rFonts w:ascii="Tahoma" w:hAnsi="Tahoma" w:cs="Tahoma"/>
          <w:color w:val="000000"/>
          <w:sz w:val="12"/>
          <w:szCs w:val="12"/>
        </w:rPr>
        <w:t>, </w:t>
      </w:r>
      <w:hyperlink r:id="rId11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42</w:t>
        </w:r>
      </w:hyperlink>
      <w:r>
        <w:rPr>
          <w:rFonts w:ascii="Tahoma" w:hAnsi="Tahoma" w:cs="Tahoma"/>
          <w:color w:val="000000"/>
          <w:sz w:val="12"/>
          <w:szCs w:val="12"/>
        </w:rPr>
        <w:t> и </w:t>
      </w:r>
      <w:hyperlink r:id="rId12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46</w:t>
        </w:r>
      </w:hyperlink>
      <w:r>
        <w:rPr>
          <w:rFonts w:ascii="Tahoma" w:hAnsi="Tahoma" w:cs="Tahoma"/>
          <w:color w:val="000000"/>
          <w:sz w:val="12"/>
          <w:szCs w:val="12"/>
        </w:rPr>
        <w:t> Бюджетного 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декса Российской Федерации, в том числе за счет: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</w:t>
      </w:r>
      <w:r>
        <w:rPr>
          <w:rFonts w:ascii="Tahoma" w:hAnsi="Tahoma" w:cs="Tahoma"/>
          <w:color w:val="000000"/>
          <w:sz w:val="12"/>
          <w:szCs w:val="12"/>
        </w:rPr>
        <w:t>ж</w:t>
      </w:r>
      <w:r>
        <w:rPr>
          <w:rFonts w:ascii="Tahoma" w:hAnsi="Tahoma" w:cs="Tahoma"/>
          <w:color w:val="000000"/>
          <w:sz w:val="12"/>
          <w:szCs w:val="12"/>
        </w:rPr>
        <w:t>дений, а также имущества муниципальных унитарных предприятий, в том числе казенных, - по нормативу 100 процентов;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доходов от платных услуг, оказываемых муниципальными казенными учреждениями;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платы за использование лесов, расположенных на землях, находящихся в муниципальной собственности, - по нормативу 100 процентов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</w:p>
    <w:p w:rsidR="0055310A" w:rsidRDefault="0055310A" w:rsidP="0055310A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1.2. Абзац четвертый пункта 5 статьи 12 «Основы составления проекта бюджета Амосовского сельсовета Медвенского района Курской области» изложить в новой редакции: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«- бюджетном прогнозе (проекте бюджетного прогноза, проекте изменений бюджетного прогноза) Амосовского сельсовета Медвенского района Курской области на долгосрочный период (за исключением показателей финансового обеспечения муниципальных программ Амосовского сельсовета Медвенского района Курской о</w:t>
      </w:r>
      <w:r>
        <w:rPr>
          <w:rFonts w:ascii="Tahoma" w:hAnsi="Tahoma" w:cs="Tahoma"/>
          <w:color w:val="000000"/>
          <w:sz w:val="12"/>
          <w:szCs w:val="12"/>
        </w:rPr>
        <w:t>б</w:t>
      </w:r>
      <w:r>
        <w:rPr>
          <w:rFonts w:ascii="Tahoma" w:hAnsi="Tahoma" w:cs="Tahoma"/>
          <w:color w:val="000000"/>
          <w:sz w:val="12"/>
          <w:szCs w:val="12"/>
        </w:rPr>
        <w:t>ласти).»;</w:t>
      </w:r>
      <w:proofErr w:type="gramEnd"/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1.3. Абзац второй пункта 2 статьи 13.1 «Долгосрочное бюджетное планирование» изложить в новой редакции: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«Бюджетный прогноз (проект бюджетного прогноза, проект изменений бюджетного прогноза) Амосовского сельсовета Медвенского района Курской области на долгосрочный период (за исключением показателей финансового обеспечения муниципальных программ Амосовского сельсовета Медвенского района Курской о</w:t>
      </w:r>
      <w:r>
        <w:rPr>
          <w:rFonts w:ascii="Tahoma" w:hAnsi="Tahoma" w:cs="Tahoma"/>
          <w:color w:val="000000"/>
          <w:sz w:val="12"/>
          <w:szCs w:val="12"/>
        </w:rPr>
        <w:t>б</w:t>
      </w:r>
      <w:r>
        <w:rPr>
          <w:rFonts w:ascii="Tahoma" w:hAnsi="Tahoma" w:cs="Tahoma"/>
          <w:color w:val="000000"/>
          <w:sz w:val="12"/>
          <w:szCs w:val="12"/>
        </w:rPr>
        <w:t>ласти) представляется в Собрание депутатов Амосовского сельсовета Медвенского района Курской области одновременно с проектом решения о бюджете Амосовск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го сельсовета Медвенского района Курской области.»;</w:t>
      </w:r>
      <w:proofErr w:type="gramEnd"/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1.4. Статью 15. «Расходные обязательства Амосовского сельсовета Медвенского района Курской области» дополнить пунктами 6 и 7 следующего содержания: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«6. Бюджетная смета Амосовского сельсовета Медвенского района Курской области утверждается Главой Амосовского сельсовета Медвенского района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7.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</w:t>
      </w:r>
      <w:r>
        <w:rPr>
          <w:rFonts w:ascii="Tahoma" w:hAnsi="Tahoma" w:cs="Tahoma"/>
          <w:color w:val="000000"/>
          <w:sz w:val="12"/>
          <w:szCs w:val="12"/>
        </w:rPr>
        <w:t>ж</w:t>
      </w:r>
      <w:r>
        <w:rPr>
          <w:rFonts w:ascii="Tahoma" w:hAnsi="Tahoma" w:cs="Tahoma"/>
          <w:color w:val="000000"/>
          <w:sz w:val="12"/>
          <w:szCs w:val="12"/>
        </w:rPr>
        <w:t>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.».</w:t>
      </w:r>
    </w:p>
    <w:p w:rsidR="0055310A" w:rsidRDefault="0055310A" w:rsidP="0055310A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1.5. пункт 6 статьи 23 «Исполнение бюджета Амосовского сельсовета Медвенского района Курской области по расходам» дополнить абзацем следующего содержания: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.».</w:t>
      </w:r>
      <w:proofErr w:type="gramEnd"/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Настоящее решение вступает в силу со дня его подписания и подлежит размещению на официальном сайте муниципального образования «Амосовский сельсовет» Медвенского района Курской области в сети Интернет.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                                                                     О.М. Горякина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Амосовского сельсовета</w:t>
      </w:r>
    </w:p>
    <w:p w:rsidR="0055310A" w:rsidRDefault="0055310A" w:rsidP="0055310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                                                                        Т.В. Иванова</w:t>
      </w:r>
    </w:p>
    <w:p w:rsidR="001563AB" w:rsidRPr="0055310A" w:rsidRDefault="001563AB" w:rsidP="0055310A">
      <w:pPr>
        <w:rPr>
          <w:lang w:val="ru-RU"/>
        </w:rPr>
      </w:pPr>
    </w:p>
    <w:sectPr w:rsidR="001563AB" w:rsidRPr="0055310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76" w:rsidRDefault="00384076" w:rsidP="001563AB">
      <w:r>
        <w:separator/>
      </w:r>
    </w:p>
  </w:endnote>
  <w:endnote w:type="continuationSeparator" w:id="0">
    <w:p w:rsidR="00384076" w:rsidRDefault="0038407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76" w:rsidRDefault="00384076" w:rsidP="001563AB">
      <w:r w:rsidRPr="001563AB">
        <w:rPr>
          <w:color w:val="000000"/>
        </w:rPr>
        <w:separator/>
      </w:r>
    </w:p>
  </w:footnote>
  <w:footnote w:type="continuationSeparator" w:id="0">
    <w:p w:rsidR="00384076" w:rsidRDefault="0038407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1563AB"/>
    <w:rsid w:val="00180DED"/>
    <w:rsid w:val="00384076"/>
    <w:rsid w:val="0055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257163B9AC8BA29A5DC5B98C2B30D16352DE3FCACDBCE7958A6FA79AE54A5068D3B72A9EC05B0qFy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E257163B9AC8BA29A5DC5B98C2B30D163423E8F4A6DBCE7958A6FA79AE54A5068D3B72A9EC02BEqFy2H" TargetMode="External"/><Relationship Id="rId12" Type="http://schemas.openxmlformats.org/officeDocument/2006/relationships/hyperlink" Target="consultantplus://offline/ref=6E8BEF0D63EDAE79ABC12950A40FAE1D06655FE306375D6D04DF2AFF036BF07BD887EF88AB3ELDG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57163B9AC8BA29A5DC5B98C2B30D16352DEDFCA2DBCE7958A6FA79AE54A5068D3B72A9EC06B6qFy8H" TargetMode="External"/><Relationship Id="rId11" Type="http://schemas.openxmlformats.org/officeDocument/2006/relationships/hyperlink" Target="consultantplus://offline/ref=6E8BEF0D63EDAE79ABC12950A40FAE1D06655FE306375D6D04DF2AFF036BF07BD887EF88AB3FLDG2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E8BEF0D63EDAE79ABC12950A40FAE1D06655FE306375D6D04DF2AFF036BF07BD887EF88AB3CLDG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E257163B9AC8BA29A5DC5B98C2B30D16352DE3FCACDBCE7958A6FA79AE54A5068D3B72A9EC05BEqFy3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cp:lastPrinted>2021-04-02T07:05:00Z</cp:lastPrinted>
  <dcterms:created xsi:type="dcterms:W3CDTF">2023-11-08T04:26:00Z</dcterms:created>
  <dcterms:modified xsi:type="dcterms:W3CDTF">2023-11-08T04:28:00Z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