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E4697D" w:rsidP="00F60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09.01.2020 года                              № 9-па</w:t>
      </w:r>
    </w:p>
    <w:p w:rsidR="00F60CEB" w:rsidRPr="00F60CEB" w:rsidRDefault="00F60CEB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8A6" w:rsidRPr="00F60CEB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Амосовском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еМедвенского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F60CEB" w:rsidP="00B63C36">
      <w:pPr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B63C36" w:rsidRDefault="00A148A6" w:rsidP="00B63C36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Поря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дком </w:t>
      </w:r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полномочий по </w:t>
      </w:r>
      <w:proofErr w:type="gramStart"/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>внутреннему</w:t>
      </w:r>
      <w:proofErr w:type="gramEnd"/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муниципальному финансовому контролю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Амосовско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6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утвержденным постановлением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053DA" w:rsidRPr="00D053DA">
        <w:rPr>
          <w:rFonts w:ascii="Times New Roman" w:hAnsi="Times New Roman" w:cs="Times New Roman"/>
          <w:sz w:val="28"/>
          <w:szCs w:val="28"/>
        </w:rPr>
        <w:t>от 10.02.2014 № 89</w:t>
      </w:r>
      <w:r w:rsidR="00D053DA">
        <w:rPr>
          <w:rFonts w:ascii="Times New Roman" w:hAnsi="Times New Roman" w:cs="Times New Roman"/>
          <w:sz w:val="28"/>
          <w:szCs w:val="28"/>
        </w:rPr>
        <w:t>-</w:t>
      </w:r>
      <w:r w:rsidR="00F60CEB" w:rsidRPr="00D053D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</w:t>
      </w:r>
    </w:p>
    <w:p w:rsidR="00A148A6" w:rsidRPr="00B63C36" w:rsidRDefault="00F60CEB" w:rsidP="00B63C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Амосовском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Амосовского сельсовета Медвенского района от 24.08.2017 № 109-па</w:t>
      </w:r>
      <w:r w:rsidRPr="00B63C36">
        <w:rPr>
          <w:rFonts w:ascii="Times New Roman" w:hAnsi="Times New Roman" w:cs="Times New Roman"/>
          <w:sz w:val="28"/>
          <w:szCs w:val="28"/>
        </w:rPr>
        <w:t xml:space="preserve"> «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Амосовского сельсовета Медвенского района</w:t>
      </w:r>
      <w:r w:rsidRPr="00B63C36">
        <w:rPr>
          <w:rFonts w:ascii="Times New Roman" w:hAnsi="Times New Roman" w:cs="Times New Roman"/>
          <w:sz w:val="28"/>
          <w:szCs w:val="28"/>
        </w:rPr>
        <w:t>»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F60CEB" w:rsidRPr="00F60CEB" w:rsidRDefault="00F60CEB" w:rsidP="00B6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B63C36" w:rsidRDefault="00B63C36">
      <w:pP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Амосовского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A14C94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09.01.2020 № 9-па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 в Амосовском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Федерации,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осуществления полномочий по </w:t>
      </w:r>
      <w:proofErr w:type="gramStart"/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>внутреннему</w:t>
      </w:r>
      <w:proofErr w:type="gramEnd"/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муниципальному финансовому контролю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Медвенского района, утвержденным постановлением Администрации Амосовского сельсовета Медвенского района от </w:t>
      </w:r>
      <w:r w:rsidR="00A14C94">
        <w:rPr>
          <w:rFonts w:ascii="Times New Roman" w:eastAsia="Times New Roman" w:hAnsi="Times New Roman" w:cs="Times New Roman"/>
          <w:sz w:val="24"/>
          <w:szCs w:val="24"/>
        </w:rPr>
        <w:t>13.05.2014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14C94">
        <w:rPr>
          <w:rFonts w:ascii="Times New Roman" w:eastAsia="Times New Roman" w:hAnsi="Times New Roman" w:cs="Times New Roman"/>
          <w:sz w:val="24"/>
          <w:szCs w:val="24"/>
        </w:rPr>
        <w:t>48-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Администрация Амосовского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Амосовского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доходов бюджета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proofErr w:type="spellStart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Амосовскому</w:t>
      </w:r>
      <w:proofErr w:type="spellEnd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="00A14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Составлению планов 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Контрольное мероприятие проводится на основании распоряжения Главы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Распоряжение о проведении контрольного мероприятия подписывается Главой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приятия, и утверждается Главой 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2.5.27. Акт проверки, ревизии вместе с материалами проверки представляется проверяющим Главе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аудиофиксации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2.10.4. При осуществлении внутреннего муниципального финансового контроля в отношении закупок для обеспечения нужд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proofErr w:type="spellStart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Амосовскому</w:t>
      </w:r>
      <w:proofErr w:type="spellEnd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лаве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01 марта года, следующего за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48A6"/>
    <w:rsid w:val="0045163A"/>
    <w:rsid w:val="00475925"/>
    <w:rsid w:val="00520C2D"/>
    <w:rsid w:val="00560C35"/>
    <w:rsid w:val="005A7A3A"/>
    <w:rsid w:val="00662CBC"/>
    <w:rsid w:val="006B6200"/>
    <w:rsid w:val="006C406D"/>
    <w:rsid w:val="008A18A3"/>
    <w:rsid w:val="00A148A6"/>
    <w:rsid w:val="00A14C94"/>
    <w:rsid w:val="00AE0B1B"/>
    <w:rsid w:val="00B63C36"/>
    <w:rsid w:val="00D053DA"/>
    <w:rsid w:val="00D42ED5"/>
    <w:rsid w:val="00DE2EB0"/>
    <w:rsid w:val="00E4697D"/>
    <w:rsid w:val="00EF3C69"/>
    <w:rsid w:val="00F6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8679</Words>
  <Characters>49475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2020-01-09T10:55:00Z</cp:lastPrinted>
  <dcterms:created xsi:type="dcterms:W3CDTF">2019-11-06T07:54:00Z</dcterms:created>
  <dcterms:modified xsi:type="dcterms:W3CDTF">2020-01-09T10:55:00Z</dcterms:modified>
</cp:coreProperties>
</file>